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11056" w14:textId="77777777" w:rsidR="00AF5D03" w:rsidRPr="00923095" w:rsidRDefault="00923095">
      <w:pPr>
        <w:pStyle w:val="Heading1"/>
        <w:tabs>
          <w:tab w:val="left" w:pos="0"/>
        </w:tabs>
        <w:spacing w:before="80"/>
        <w:ind w:left="1710" w:right="2025" w:firstLine="180"/>
        <w:jc w:val="center"/>
        <w:rPr>
          <w:rFonts w:ascii="Open Sans" w:eastAsia="Open Sans" w:hAnsi="Open Sans" w:cs="Open Sans"/>
          <w:color w:val="085C6C"/>
          <w:sz w:val="36"/>
          <w:szCs w:val="36"/>
        </w:rPr>
      </w:pPr>
      <w:bookmarkStart w:id="0" w:name="_heading=h.bnb6lakpadmh"/>
      <w:bookmarkEnd w:id="0"/>
      <w:r w:rsidRPr="00923095">
        <w:rPr>
          <w:rFonts w:ascii="Open Sans" w:hAnsi="Open Sans"/>
          <w:color w:val="085C6C"/>
          <w:sz w:val="36"/>
        </w:rPr>
        <w:t>TABLEAU DE CONVERSION DES MILES SUR SKYTEAM ET LES PARTENAIRES AÉRIENS</w:t>
      </w:r>
    </w:p>
    <w:p w14:paraId="4B9C78DA" w14:textId="77777777" w:rsidR="00AF5D03" w:rsidRPr="00923095" w:rsidRDefault="00923095">
      <w:pPr>
        <w:spacing w:before="80"/>
        <w:jc w:val="center"/>
        <w:rPr>
          <w:rFonts w:ascii="Open Sans" w:eastAsia="Open Sans" w:hAnsi="Open Sans" w:cs="Open Sans"/>
          <w:highlight w:val="white"/>
        </w:rPr>
      </w:pPr>
      <w:r w:rsidRPr="00923095">
        <w:rPr>
          <w:rFonts w:ascii="Open Sans" w:hAnsi="Open Sans"/>
          <w:highlight w:val="white"/>
        </w:rPr>
        <w:t>Le nombre de miles déduits affiché dans le tableau ci-dessous s'applique à un segment de vol.</w:t>
      </w:r>
    </w:p>
    <w:p w14:paraId="4CD51338" w14:textId="77777777" w:rsidR="00AF5D03" w:rsidRPr="00923095" w:rsidRDefault="00923095">
      <w:pPr>
        <w:spacing w:before="80" w:line="360" w:lineRule="auto"/>
        <w:jc w:val="center"/>
        <w:rPr>
          <w:rFonts w:ascii="Open Sans" w:eastAsia="Open Sans" w:hAnsi="Open Sans" w:cs="Open Sans"/>
          <w:highlight w:val="white"/>
        </w:rPr>
      </w:pPr>
      <w:r w:rsidRPr="00923095">
        <w:rPr>
          <w:rFonts w:ascii="Open Sans" w:hAnsi="Open Sans"/>
          <w:highlight w:val="white"/>
        </w:rPr>
        <w:t xml:space="preserve">Périodes non-éligibles chez </w:t>
      </w:r>
      <w:proofErr w:type="spellStart"/>
      <w:r w:rsidRPr="00923095">
        <w:rPr>
          <w:rFonts w:ascii="Open Sans" w:hAnsi="Open Sans"/>
          <w:highlight w:val="white"/>
        </w:rPr>
        <w:t>Korean</w:t>
      </w:r>
      <w:proofErr w:type="spellEnd"/>
      <w:r w:rsidRPr="00923095">
        <w:rPr>
          <w:rFonts w:ascii="Open Sans" w:hAnsi="Open Sans"/>
          <w:highlight w:val="white"/>
        </w:rPr>
        <w:t xml:space="preserve"> Air, voir les détails </w:t>
      </w:r>
      <w:hyperlink r:id="rId5">
        <w:r w:rsidRPr="00923095">
          <w:rPr>
            <w:rFonts w:ascii="Open Sans" w:hAnsi="Open Sans"/>
            <w:color w:val="DCA612"/>
            <w:highlight w:val="white"/>
            <w:u w:val="single"/>
          </w:rPr>
          <w:t>ici</w:t>
        </w:r>
      </w:hyperlink>
      <w:r w:rsidRPr="00923095">
        <w:rPr>
          <w:rFonts w:ascii="Open Sans" w:hAnsi="Open Sans"/>
          <w:highlight w:val="white"/>
        </w:rPr>
        <w:t>.</w:t>
      </w:r>
    </w:p>
    <w:tbl>
      <w:tblPr>
        <w:tblStyle w:val="a"/>
        <w:tblW w:w="14445" w:type="dxa"/>
        <w:jc w:val="center"/>
        <w:tblLayout w:type="fixed"/>
        <w:tblLook w:val="0400" w:firstRow="0" w:lastRow="0" w:firstColumn="0" w:lastColumn="0" w:noHBand="0" w:noVBand="1"/>
      </w:tblPr>
      <w:tblGrid>
        <w:gridCol w:w="1335"/>
        <w:gridCol w:w="1860"/>
        <w:gridCol w:w="1050"/>
        <w:gridCol w:w="1050"/>
        <w:gridCol w:w="1080"/>
        <w:gridCol w:w="1290"/>
        <w:gridCol w:w="1095"/>
        <w:gridCol w:w="1230"/>
        <w:gridCol w:w="1080"/>
        <w:gridCol w:w="1200"/>
        <w:gridCol w:w="1140"/>
        <w:gridCol w:w="1035"/>
      </w:tblGrid>
      <w:tr w:rsidR="00AF5D03" w:rsidRPr="00923095" w14:paraId="7BEBE810" w14:textId="77777777">
        <w:trPr>
          <w:trHeight w:val="808"/>
          <w:jc w:val="center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F24E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De/À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6CE4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 xml:space="preserve">Classes de service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3CA3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Asie du Sud-Est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16CB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Asie du Nord-Est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4359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Asie du Sud-Ouest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8D9E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0"/>
                <w:id w:val="297035622"/>
              </w:sdtPr>
              <w:sdtEndPr/>
              <w:sdtContent>
                <w:r w:rsidRPr="00923095">
                  <w:rPr>
                    <w:rFonts w:ascii="Arial" w:hAnsi="Arial"/>
                    <w:b/>
                    <w:sz w:val="20"/>
                  </w:rPr>
                  <w:t>Pacifique Sud-Ouest</w:t>
                </w:r>
              </w:sdtContent>
            </w:sdt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BD95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Amérique du Nord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EC74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Amérique centrale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10BB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Amérique du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B92D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Europ</w:t>
            </w:r>
            <w:r w:rsidRPr="00923095">
              <w:rPr>
                <w:rFonts w:ascii="Open Sans" w:hAnsi="Open Sans"/>
                <w:b/>
                <w:sz w:val="20"/>
              </w:rPr>
              <w:t>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E469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Moyen-Orient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7A11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Afrique</w:t>
            </w:r>
          </w:p>
        </w:tc>
      </w:tr>
      <w:tr w:rsidR="00AF5D03" w:rsidRPr="00923095" w14:paraId="648220F4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29F8E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Asie du Sud-Est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FDA3C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040CDB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30,000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6E1E54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45,000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8E3E3A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45,000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F61C5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AB588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55,000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70221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65,000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D8872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C69374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13954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E52408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</w:tr>
      <w:tr w:rsidR="00AF5D03" w:rsidRPr="00923095" w14:paraId="05BD4BDA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72D8B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B25D5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1"/>
                <w:id w:val="159352465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 :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472B6E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59E6A3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65,000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F1E69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70,000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27ED91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D1D52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EB0E3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130,000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8D0DAC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140,000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527A72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180,000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301DAB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EEC9B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</w:tr>
      <w:tr w:rsidR="00AF5D03" w:rsidRPr="00923095" w14:paraId="113D5E1D" w14:textId="77777777">
        <w:trPr>
          <w:trHeight w:val="437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3908D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9D3BCD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C24D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72,000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DAE83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C94BB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105,000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2AC2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A61E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8A51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195,000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2352E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EE6AC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210,000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440D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7F7E2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</w:tr>
      <w:tr w:rsidR="00AF5D03" w:rsidRPr="00923095" w14:paraId="2CC550A9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03D2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Asie du Nord-Est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BB7D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F0AA0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B71BD1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B2FBE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25,000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7620E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DA5920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99F479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448340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6BF80D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1807B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EC5D5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</w:tr>
      <w:tr w:rsidR="00AF5D03" w:rsidRPr="00923095" w14:paraId="0B593142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42183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66852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2"/>
                <w:id w:val="-1041906481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 :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8CE170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B162B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262A2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2C023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5EE9D3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3D33AB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F41629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032A9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85BAE6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5FCD71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</w:tr>
      <w:tr w:rsidR="00AF5D03" w:rsidRPr="00923095" w14:paraId="0B42E71F" w14:textId="77777777">
        <w:trPr>
          <w:trHeight w:val="467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37635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9AC92A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181D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DF1CB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1C9E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75,000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B252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DA75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93116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CDE3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62A9E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DB72E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939F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</w:tr>
      <w:tr w:rsidR="00AF5D03" w:rsidRPr="00923095" w14:paraId="4A306B5E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950E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Asie du Sud-Ouest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6493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291206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A559FB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79B7F2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927683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D950E3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00FCD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F09EE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60,000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0D7CE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35,000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7DB17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35,000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0DEC5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</w:tr>
      <w:tr w:rsidR="00AF5D03" w:rsidRPr="00923095" w14:paraId="749AE972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3E3F8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D6D5F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3"/>
                <w:id w:val="-1742393016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 :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79ABE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C4A752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53A592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038F0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92FA3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955DB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38A0CD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7DAD3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6B0186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267D20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</w:tr>
      <w:tr w:rsidR="00AF5D03" w:rsidRPr="00923095" w14:paraId="5FCA3B7A" w14:textId="77777777">
        <w:trPr>
          <w:trHeight w:val="452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ABCC9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296D52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3B7D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04670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0B4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A5C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03D86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5180B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3A1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91A89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CA9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105,000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8E8DD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</w:tr>
      <w:tr w:rsidR="00AF5D03" w:rsidRPr="00923095" w14:paraId="174B3B14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8A55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4"/>
                <w:id w:val="-715578741"/>
              </w:sdtPr>
              <w:sdtEndPr/>
              <w:sdtContent>
                <w:r w:rsidRPr="00923095">
                  <w:rPr>
                    <w:rFonts w:ascii="Arial" w:hAnsi="Arial"/>
                    <w:b/>
                    <w:sz w:val="20"/>
                  </w:rPr>
                  <w:t>Pacifique Sud-Ouest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E0C8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1E0FBB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4E3FD1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F30853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9311FF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35,000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26462B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55,000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5EB3FD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55,000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2BDEFB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60,000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161681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55,000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6A2C1B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55,000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2AC819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60,000</w:t>
            </w:r>
          </w:p>
        </w:tc>
      </w:tr>
      <w:tr w:rsidR="00AF5D03" w:rsidRPr="00923095" w14:paraId="4D15A8B0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6397F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7EB3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5"/>
                <w:id w:val="1880817254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A17065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61A497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F3FCCA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35933E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70,000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5EA4C3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110,000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E3B49D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110,000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94DAD4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9BD128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110,000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B3B2B7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110,000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DBDF63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</w:tr>
      <w:tr w:rsidR="00AF5D03" w:rsidRPr="00923095" w14:paraId="5072D1E2" w14:textId="77777777">
        <w:trPr>
          <w:trHeight w:val="462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54BF7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702F61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65E41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A9810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87D58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D8982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105,000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139B0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165,000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ED958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165,000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4FEF3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5A564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165,000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6C392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165,000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99480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180,000</w:t>
            </w:r>
          </w:p>
        </w:tc>
      </w:tr>
      <w:tr w:rsidR="00AF5D03" w:rsidRPr="00923095" w14:paraId="7B53AEEF" w14:textId="77777777">
        <w:trPr>
          <w:trHeight w:val="42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AADB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Amérique du Nord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6D417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D3604F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226408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645CA1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42382C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71C5DB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15,000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C01C2F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17,500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05DE56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25,000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2F69FA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25,000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016DDF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E0B384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</w:tr>
      <w:tr w:rsidR="00AF5D03" w:rsidRPr="00923095" w14:paraId="40A72395" w14:textId="77777777">
        <w:trPr>
          <w:trHeight w:val="27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AFAD0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4DE4C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6"/>
                <w:id w:val="-98109778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70D031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EFC5B0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7FBB44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4000BD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690ED4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30,000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6AAF63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D730AD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7309CE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4BFD13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38A88E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</w:tr>
      <w:tr w:rsidR="00AF5D03" w:rsidRPr="00923095" w14:paraId="50933EFD" w14:textId="77777777">
        <w:trPr>
          <w:trHeight w:val="33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CD65B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8848FB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4C2E9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65D0E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CB807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CCB7F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790A3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45,000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4C4AF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A5700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86447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BEA5C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A9AD8" w14:textId="77777777" w:rsidR="00AF5D03" w:rsidRPr="00923095" w:rsidRDefault="00923095">
            <w:pP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</w:tr>
      <w:tr w:rsidR="00AF5D03" w:rsidRPr="00923095" w14:paraId="757145FD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46A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Amérique centrale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841B9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3F1C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D40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4651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849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75A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C84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17,500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587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25,000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97EE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25,000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895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761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</w:tr>
      <w:tr w:rsidR="00AF5D03" w:rsidRPr="00923095" w14:paraId="39F8C9CF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01DC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F0DA4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7"/>
                <w:id w:val="-432825123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</w:t>
                </w:r>
              </w:sdtContent>
            </w:sdt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39AC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674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03DD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F7AC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58C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A0AF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35,000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43F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8A10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6327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92C2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</w:tr>
      <w:tr w:rsidR="00AF5D03" w:rsidRPr="00923095" w14:paraId="464E495C" w14:textId="77777777">
        <w:trPr>
          <w:trHeight w:val="50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DFEC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35236C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CB30A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D4115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669D1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650B0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26101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040F2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52,500</w:t>
            </w: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87F18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75,000</w:t>
            </w:r>
          </w:p>
        </w:tc>
        <w:tc>
          <w:tcPr>
            <w:tcW w:w="120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0AD3C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75,000</w:t>
            </w:r>
          </w:p>
        </w:tc>
        <w:tc>
          <w:tcPr>
            <w:tcW w:w="1140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2B7D4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  <w:tc>
          <w:tcPr>
            <w:tcW w:w="1035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32279" w14:textId="77777777" w:rsidR="00AF5D03" w:rsidRPr="00923095" w:rsidRDefault="00923095">
            <w:pPr>
              <w:spacing w:before="6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</w:tr>
      <w:tr w:rsidR="00AF5D03" w:rsidRPr="00923095" w14:paraId="24EF07B7" w14:textId="77777777">
        <w:trPr>
          <w:trHeight w:val="330"/>
          <w:jc w:val="center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11A4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Amérique du Sud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DC32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6446EE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01C6F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3BD06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B68F8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AD09E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61D74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8CD95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15,000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7BE0D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45,000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6E3F7A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50,000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85DFF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60,000</w:t>
            </w:r>
          </w:p>
        </w:tc>
      </w:tr>
      <w:tr w:rsidR="00AF5D03" w:rsidRPr="00923095" w14:paraId="24EA76AD" w14:textId="77777777">
        <w:trPr>
          <w:trHeight w:val="375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7B54D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F8D5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8"/>
                <w:id w:val="700047874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D0BD2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F541D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ECC8C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DFB52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3476A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B898F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D13F3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721BF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90,000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A85C94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F45EE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</w:tr>
      <w:tr w:rsidR="00AF5D03" w:rsidRPr="00923095" w14:paraId="5C1DA8D3" w14:textId="77777777">
        <w:trPr>
          <w:trHeight w:val="375"/>
          <w:jc w:val="center"/>
        </w:trPr>
        <w:tc>
          <w:tcPr>
            <w:tcW w:w="133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796C0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BF1DAA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1DB6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AAD5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817E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9CF2A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D345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E667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CDFA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D0B5E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135,000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9FF1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150,000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C35EE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180,000</w:t>
            </w:r>
          </w:p>
        </w:tc>
      </w:tr>
      <w:tr w:rsidR="00AF5D03" w:rsidRPr="00923095" w14:paraId="61092428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29DC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Europe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20E1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16312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678D3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A142B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89F24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2056B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AAE0C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7D09C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ED03F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BCF69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20,000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4BCD1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35,000</w:t>
            </w:r>
          </w:p>
        </w:tc>
      </w:tr>
      <w:tr w:rsidR="00AF5D03" w:rsidRPr="00923095" w14:paraId="3972F827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D0326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A2DF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9"/>
                <w:id w:val="-938669814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2B053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744F1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0B416E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DA0084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527C7B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7E3AD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A376B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0DF79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30,000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E01CAA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B8AA8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70,000</w:t>
            </w:r>
          </w:p>
        </w:tc>
      </w:tr>
      <w:tr w:rsidR="00AF5D03" w:rsidRPr="00923095" w14:paraId="7DDF89BD" w14:textId="77777777">
        <w:trPr>
          <w:trHeight w:val="30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B45B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61C5C6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D180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0330A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2E6B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8E8E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B75C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326CB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4141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4524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490E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60,000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6FEF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105,000</w:t>
            </w:r>
          </w:p>
        </w:tc>
      </w:tr>
      <w:tr w:rsidR="00AF5D03" w:rsidRPr="00923095" w14:paraId="7304615D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4133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Moyen-Orient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2130D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B1AD0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48583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6DDC7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AEFBC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FDA62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DC347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D543D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9993E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CC1994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15,000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3FE04A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</w:tr>
      <w:tr w:rsidR="00AF5D03" w:rsidRPr="00923095" w14:paraId="7897FA9B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814B7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F618F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10"/>
                <w:id w:val="-50456474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AE83D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03ACB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0690E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F190E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510DD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8BD63B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A65DF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6F9FFA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590C1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30,000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31B92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</w:tr>
      <w:tr w:rsidR="00AF5D03" w:rsidRPr="00923095" w14:paraId="3BA875B0" w14:textId="77777777">
        <w:trPr>
          <w:trHeight w:val="30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6016B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21627A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BBEDA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5BDE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3724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3F77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8886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50BD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3203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7251C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7822E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45,000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A04D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</w:tr>
      <w:tr w:rsidR="00AF5D03" w:rsidRPr="00923095" w14:paraId="20F9F252" w14:textId="77777777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7A2A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b/>
                <w:sz w:val="20"/>
              </w:rPr>
              <w:t>Afrique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79F9C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 w:rsidRPr="00923095">
              <w:rPr>
                <w:rFonts w:ascii="Open Sans" w:hAnsi="Open Sans"/>
                <w:sz w:val="20"/>
              </w:rPr>
              <w:t>Economy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BE2ED54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B7783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8AF75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3FDB7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D223E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B7B14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17D2C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FDA65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E2F1C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61620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40,000</w:t>
            </w:r>
          </w:p>
        </w:tc>
      </w:tr>
      <w:tr w:rsidR="00AF5D03" w:rsidRPr="00923095" w14:paraId="65A40F12" w14:textId="77777777">
        <w:trPr>
          <w:trHeight w:val="28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1F67A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7320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sdt>
              <w:sdtPr>
                <w:tag w:val="goog_rdk_11"/>
                <w:id w:val="1054120844"/>
              </w:sdtPr>
              <w:sdtEndPr/>
              <w:sdtContent>
                <w:r w:rsidRPr="00923095">
                  <w:rPr>
                    <w:rFonts w:ascii="Arial" w:hAnsi="Arial"/>
                    <w:sz w:val="20"/>
                  </w:rPr>
                  <w:t>Business</w:t>
                </w:r>
              </w:sdtContent>
            </w:sdt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F24D12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83791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C9411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D40CF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023D3D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7F4416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7CCF27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F23C564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5845F9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814795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80,000</w:t>
            </w:r>
          </w:p>
        </w:tc>
      </w:tr>
      <w:tr w:rsidR="00AF5D03" w:rsidRPr="00923095" w14:paraId="1FC298E1" w14:textId="77777777">
        <w:trPr>
          <w:trHeight w:val="442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30D9D" w14:textId="77777777" w:rsidR="00AF5D03" w:rsidRPr="00923095" w:rsidRDefault="00AF5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8E2556" w14:textId="77777777" w:rsidR="00AF5D03" w:rsidRPr="00923095" w:rsidRDefault="00923095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La Première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B4443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68706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6ABFF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14608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661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066C0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2C62B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9211B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7FF9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45A21" w14:textId="77777777" w:rsidR="00AF5D03" w:rsidRPr="00923095" w:rsidRDefault="00923095">
            <w:pPr>
              <w:spacing w:before="8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923095">
              <w:rPr>
                <w:rFonts w:ascii="Open Sans" w:hAnsi="Open Sans"/>
                <w:sz w:val="20"/>
              </w:rPr>
              <w:t>120,000</w:t>
            </w:r>
          </w:p>
        </w:tc>
      </w:tr>
    </w:tbl>
    <w:p w14:paraId="076FB101" w14:textId="77777777" w:rsidR="00AF5D03" w:rsidRPr="00923095" w:rsidRDefault="00AF5D03">
      <w:pPr>
        <w:rPr>
          <w:rFonts w:ascii="Open Sans" w:eastAsia="Open Sans" w:hAnsi="Open Sans" w:cs="Open Sans"/>
          <w:sz w:val="20"/>
          <w:szCs w:val="20"/>
        </w:rPr>
      </w:pPr>
    </w:p>
    <w:p w14:paraId="62E62EDB" w14:textId="77777777" w:rsidR="00AF5D03" w:rsidRPr="00923095" w:rsidRDefault="00923095">
      <w:pPr>
        <w:jc w:val="center"/>
        <w:rPr>
          <w:rFonts w:ascii="Open Sans" w:eastAsia="Open Sans" w:hAnsi="Open Sans" w:cs="Open Sans"/>
          <w:b/>
          <w:color w:val="085C6C"/>
          <w:sz w:val="20"/>
          <w:szCs w:val="20"/>
        </w:rPr>
      </w:pPr>
      <w:r w:rsidRPr="00923095">
        <w:rPr>
          <w:rFonts w:ascii="Open Sans" w:hAnsi="Open Sans"/>
          <w:b/>
          <w:color w:val="085C6C"/>
        </w:rPr>
        <w:t>DÉTAILS DES PAYS PAR RÉGION</w:t>
      </w:r>
    </w:p>
    <w:p w14:paraId="33A069F1" w14:textId="77777777" w:rsidR="00AF5D03" w:rsidRPr="00923095" w:rsidRDefault="00AF5D03">
      <w:pPr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2C0D08FC" w14:textId="77777777" w:rsidR="00AF5D03" w:rsidRPr="00923095" w:rsidRDefault="00923095">
      <w:pPr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Asie du Sud-Est : </w:t>
      </w:r>
      <w:r w:rsidRPr="00923095">
        <w:rPr>
          <w:rFonts w:ascii="Open Sans" w:hAnsi="Open Sans"/>
          <w:sz w:val="20"/>
        </w:rPr>
        <w:t>Brunei Darussalam ; Cambodge ; Hong Kong, Chine ; Indonésie ; République démocratique populaire lao ; Macao, Chine ; Malaisie ; Myanmar ; Philippines ; Singapour ; Thaïlande ; Vietnam.</w:t>
      </w:r>
    </w:p>
    <w:p w14:paraId="0B1E7B80" w14:textId="77777777" w:rsidR="00AF5D03" w:rsidRPr="00923095" w:rsidRDefault="00AF5D03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2B7489B6" w14:textId="77777777" w:rsidR="00AF5D03" w:rsidRPr="00923095" w:rsidRDefault="00923095">
      <w:pPr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Asie du Nord-Est </w:t>
      </w:r>
      <w:r w:rsidRPr="00923095">
        <w:rPr>
          <w:rFonts w:ascii="Open Sans" w:hAnsi="Open Sans"/>
          <w:sz w:val="20"/>
        </w:rPr>
        <w:t>Corée, Japon, Chine, Mongolie, Est de la Fédération de Russie (Vladivostok), d’autres destinations en Asie du Nord-Est.</w:t>
      </w:r>
    </w:p>
    <w:p w14:paraId="30D3C50A" w14:textId="77777777" w:rsidR="00AF5D03" w:rsidRPr="00923095" w:rsidRDefault="00AF5D03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473AD3C5" w14:textId="77777777" w:rsidR="00AF5D03" w:rsidRPr="00923095" w:rsidRDefault="00923095">
      <w:pPr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Asie du Sud-Ouest : </w:t>
      </w:r>
      <w:r w:rsidRPr="00923095">
        <w:rPr>
          <w:rFonts w:ascii="Open Sans" w:hAnsi="Open Sans"/>
          <w:sz w:val="20"/>
        </w:rPr>
        <w:t>Afghanistan, Bangladesh, Bhoutan, Inde, Kazakhstan, Kirghizistan, Maldives, Népal, Pakistan, Sri Lanka, Tadjikistan</w:t>
      </w:r>
      <w:r w:rsidRPr="00923095">
        <w:rPr>
          <w:rFonts w:ascii="Open Sans" w:hAnsi="Open Sans"/>
          <w:sz w:val="20"/>
        </w:rPr>
        <w:t>, Turkménistan, Ouzbékistan, Russie centrale.</w:t>
      </w:r>
    </w:p>
    <w:p w14:paraId="36DAFCD1" w14:textId="77777777" w:rsidR="00AF5D03" w:rsidRPr="00923095" w:rsidRDefault="00AF5D03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</w:p>
    <w:p w14:paraId="0A21A603" w14:textId="77777777" w:rsidR="00AF5D03" w:rsidRPr="00923095" w:rsidRDefault="00923095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  <w:sdt>
        <w:sdtPr>
          <w:tag w:val="goog_rdk_12"/>
          <w:id w:val="-1387636264"/>
        </w:sdtPr>
        <w:sdtEndPr/>
        <w:sdtContent>
          <w:r w:rsidRPr="00923095">
            <w:rPr>
              <w:rFonts w:ascii="Arial" w:hAnsi="Arial"/>
              <w:b/>
              <w:sz w:val="20"/>
            </w:rPr>
            <w:t xml:space="preserve">Pacifique Sud-Ouest : </w:t>
          </w:r>
        </w:sdtContent>
      </w:sdt>
      <w:r w:rsidRPr="00923095">
        <w:rPr>
          <w:rFonts w:ascii="Open Sans" w:hAnsi="Open Sans"/>
          <w:sz w:val="20"/>
        </w:rPr>
        <w:t>Australie, y compris les îles Christmas et Cocos (Keeling), Nouvelle-Zélande, Timor oriental, Papouasie-Nouvelle-Guinée, et d'autres îles du Pacifique comprenant : Samoa américaines, Îl</w:t>
      </w:r>
      <w:r w:rsidRPr="00923095">
        <w:rPr>
          <w:rFonts w:ascii="Open Sans" w:hAnsi="Open Sans"/>
          <w:sz w:val="20"/>
        </w:rPr>
        <w:t>es Cook, Fidji, Polynésie française, Guam, Kiribati, Îles Marshall, Micronésie, Nauru, Nouvelle-Calédonie, Niue, Île Norfolk, Îles Mariannes du Nord, Palaos, Samoa, Îles Salomon, Tonga, Tuvalu, Îles mineures éloignées des États-Unis, Vanuatu, Îles Wallis-e</w:t>
      </w:r>
      <w:r w:rsidRPr="00923095">
        <w:rPr>
          <w:rFonts w:ascii="Open Sans" w:hAnsi="Open Sans"/>
          <w:sz w:val="20"/>
        </w:rPr>
        <w:t xml:space="preserve">t-Futuna. </w:t>
      </w:r>
    </w:p>
    <w:p w14:paraId="47EA6A86" w14:textId="77777777" w:rsidR="00AF5D03" w:rsidRPr="00923095" w:rsidRDefault="00AF5D03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</w:p>
    <w:p w14:paraId="070581AE" w14:textId="77777777" w:rsidR="00AF5D03" w:rsidRPr="00923095" w:rsidRDefault="00923095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Amérique du Nord : </w:t>
      </w:r>
      <w:r w:rsidRPr="00923095">
        <w:rPr>
          <w:rFonts w:ascii="Open Sans" w:hAnsi="Open Sans"/>
          <w:sz w:val="20"/>
        </w:rPr>
        <w:t>Bermudes, Canada, Saint- Pierre et Miquelon, États-Unis, y compris l'Alaska et Hawaï, à l'exception de Porto Rico et des îles Vierges.</w:t>
      </w:r>
    </w:p>
    <w:p w14:paraId="794CB25F" w14:textId="77777777" w:rsidR="00AF5D03" w:rsidRPr="00923095" w:rsidRDefault="00AF5D03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</w:p>
    <w:p w14:paraId="0E63CF44" w14:textId="77777777" w:rsidR="00AF5D03" w:rsidRPr="00923095" w:rsidRDefault="00923095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Amérique centrale : </w:t>
      </w:r>
      <w:r w:rsidRPr="00923095">
        <w:rPr>
          <w:rFonts w:ascii="Open Sans" w:hAnsi="Open Sans"/>
          <w:sz w:val="20"/>
        </w:rPr>
        <w:t>Anguilla, Antigua-et-Barbuda, Aruba, Bahamas, Îles Vierges britanniqu</w:t>
      </w:r>
      <w:r w:rsidRPr="00923095">
        <w:rPr>
          <w:rFonts w:ascii="Open Sans" w:hAnsi="Open Sans"/>
          <w:sz w:val="20"/>
        </w:rPr>
        <w:t>es, Îles Caïmans, Costa Rica, Barbade, Belize, Cuba, Dominique, Grenade, Guadeloupe, Guatemala, Mexique, Montserrat, Antilles néerlandaises, Nicaragua, Panama, Porto Rico, Saint- Christophe (</w:t>
      </w:r>
      <w:bookmarkStart w:id="1" w:name="_GoBack"/>
      <w:r w:rsidRPr="00923095">
        <w:rPr>
          <w:rFonts w:ascii="Open Sans" w:hAnsi="Open Sans"/>
          <w:sz w:val="20"/>
        </w:rPr>
        <w:t xml:space="preserve">St. </w:t>
      </w:r>
      <w:proofErr w:type="spellStart"/>
      <w:r w:rsidRPr="00923095">
        <w:rPr>
          <w:rFonts w:ascii="Open Sans" w:hAnsi="Open Sans"/>
          <w:sz w:val="20"/>
        </w:rPr>
        <w:t>Kitts</w:t>
      </w:r>
      <w:bookmarkEnd w:id="1"/>
      <w:proofErr w:type="spellEnd"/>
      <w:r w:rsidRPr="00923095">
        <w:rPr>
          <w:rFonts w:ascii="Open Sans" w:hAnsi="Open Sans"/>
          <w:sz w:val="20"/>
        </w:rPr>
        <w:t xml:space="preserve">) et </w:t>
      </w:r>
      <w:proofErr w:type="spellStart"/>
      <w:r w:rsidRPr="00923095">
        <w:rPr>
          <w:rFonts w:ascii="Open Sans" w:hAnsi="Open Sans"/>
          <w:sz w:val="20"/>
        </w:rPr>
        <w:t>Niévès</w:t>
      </w:r>
      <w:proofErr w:type="spellEnd"/>
      <w:r w:rsidRPr="00923095">
        <w:rPr>
          <w:rFonts w:ascii="Open Sans" w:hAnsi="Open Sans"/>
          <w:sz w:val="20"/>
        </w:rPr>
        <w:t>, Sainte-Lucie, Saint-Vincent-et-les Grenadin</w:t>
      </w:r>
      <w:r w:rsidRPr="00923095">
        <w:rPr>
          <w:rFonts w:ascii="Open Sans" w:hAnsi="Open Sans"/>
          <w:sz w:val="20"/>
        </w:rPr>
        <w:t xml:space="preserve">es, Trinité-et-Tobago, Îles Vierges des États-Unis, République dominicaine, Salvador, Haïti, Honduras, Jamaïque, Martinique, Îles Turques-et-Caïques. </w:t>
      </w:r>
    </w:p>
    <w:p w14:paraId="261314C8" w14:textId="77777777" w:rsidR="00AF5D03" w:rsidRPr="00923095" w:rsidRDefault="00AF5D03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</w:p>
    <w:p w14:paraId="45111585" w14:textId="080FF93D" w:rsidR="00AF5D03" w:rsidRPr="00923095" w:rsidRDefault="00923095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Amérique du Sud 1 : </w:t>
      </w:r>
      <w:r w:rsidRPr="00923095">
        <w:rPr>
          <w:rFonts w:ascii="Open Sans" w:hAnsi="Open Sans"/>
          <w:sz w:val="20"/>
        </w:rPr>
        <w:t>Colombie</w:t>
      </w:r>
      <w:r w:rsidRPr="00923095">
        <w:rPr>
          <w:rFonts w:ascii="Open Sans" w:hAnsi="Open Sans"/>
          <w:sz w:val="20"/>
        </w:rPr>
        <w:t xml:space="preserve"> (y compris les îles San Andrés), Équateur, Guyane française, Guyana, Péro</w:t>
      </w:r>
      <w:r w:rsidRPr="00923095">
        <w:rPr>
          <w:rFonts w:ascii="Open Sans" w:hAnsi="Open Sans"/>
          <w:sz w:val="20"/>
        </w:rPr>
        <w:t>u. Suriname, Venezuela.</w:t>
      </w:r>
    </w:p>
    <w:p w14:paraId="3B73797E" w14:textId="77777777" w:rsidR="00AF5D03" w:rsidRPr="00923095" w:rsidRDefault="00AF5D03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</w:p>
    <w:p w14:paraId="58089902" w14:textId="77777777" w:rsidR="00AF5D03" w:rsidRPr="00923095" w:rsidRDefault="00923095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Amérique du Sud 2 : </w:t>
      </w:r>
      <w:r w:rsidRPr="00923095">
        <w:rPr>
          <w:rFonts w:ascii="Open Sans" w:hAnsi="Open Sans"/>
          <w:sz w:val="20"/>
        </w:rPr>
        <w:t>Argentine (y compris les îles Malouines), Bolivie, Brésil, Chili, Uruguay, Paraguay</w:t>
      </w:r>
    </w:p>
    <w:p w14:paraId="5CE2D171" w14:textId="77777777" w:rsidR="00AF5D03" w:rsidRPr="00923095" w:rsidRDefault="00AF5D03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</w:p>
    <w:p w14:paraId="0489D597" w14:textId="77777777" w:rsidR="00AF5D03" w:rsidRPr="00923095" w:rsidRDefault="00923095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Europe : </w:t>
      </w:r>
      <w:r w:rsidRPr="00923095">
        <w:rPr>
          <w:rFonts w:ascii="Open Sans" w:hAnsi="Open Sans"/>
          <w:sz w:val="20"/>
        </w:rPr>
        <w:t>Albanie, Andorre, Arménie, Autriche, Azerbaïdjan, Belgique, Bosnie-Herzégovine, Bulgarie, Îles Canaries, Croatie, Aço</w:t>
      </w:r>
      <w:r w:rsidRPr="00923095">
        <w:rPr>
          <w:rFonts w:ascii="Open Sans" w:hAnsi="Open Sans"/>
          <w:sz w:val="20"/>
        </w:rPr>
        <w:t>res, Biélorussie, Chypre, République tchèque, Danemark, Irlande, Estonie, Îles Féroé, Finlande, France, Géorgie, Islande, Italie, Lettonie, Liechtenstein, Lituanie, Luxembourg, Allemagne, Gibraltar, Grèce, Groenland, Hongrie, Macédoine (anciennement Yougos</w:t>
      </w:r>
      <w:r w:rsidRPr="00923095">
        <w:rPr>
          <w:rFonts w:ascii="Open Sans" w:hAnsi="Open Sans"/>
          <w:sz w:val="20"/>
        </w:rPr>
        <w:t>lavie), Madère, Malte, Moldavie (République de), Monaco, Pays-Bas, Norvège, Pologne, Portugal, Roumanie, Saint-Marin, Serbie, Slovaquie, Slovénie, Espagne, Suède, Suisse, Turquie, Ukraine, Royaume-Uni, Fédération de Russie (à l'ouest de l'Oural).</w:t>
      </w:r>
    </w:p>
    <w:p w14:paraId="36D3A6CC" w14:textId="77777777" w:rsidR="00AF5D03" w:rsidRPr="00923095" w:rsidRDefault="00AF5D03">
      <w:pPr>
        <w:spacing w:before="60"/>
        <w:jc w:val="both"/>
        <w:rPr>
          <w:rFonts w:ascii="Open Sans" w:eastAsia="Open Sans" w:hAnsi="Open Sans" w:cs="Open Sans"/>
          <w:sz w:val="20"/>
          <w:szCs w:val="20"/>
        </w:rPr>
      </w:pPr>
    </w:p>
    <w:p w14:paraId="70B2A8A3" w14:textId="77777777" w:rsidR="00AF5D03" w:rsidRPr="00923095" w:rsidRDefault="00923095">
      <w:pPr>
        <w:spacing w:before="8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>Moyen-Or</w:t>
      </w:r>
      <w:r w:rsidRPr="00923095">
        <w:rPr>
          <w:rFonts w:ascii="Open Sans" w:hAnsi="Open Sans"/>
          <w:b/>
          <w:sz w:val="20"/>
        </w:rPr>
        <w:t xml:space="preserve">ient : </w:t>
      </w:r>
      <w:r w:rsidRPr="00923095">
        <w:rPr>
          <w:rFonts w:ascii="Open Sans" w:hAnsi="Open Sans"/>
          <w:sz w:val="20"/>
        </w:rPr>
        <w:t>Bahreïn, Iran, Irak, Israël, Jordanie, Koweït, Liban, Oman, Qatar, Arabie saoudite, République arabe syrienne, Émirats arabes unis, Yémen, Palestine.</w:t>
      </w:r>
    </w:p>
    <w:p w14:paraId="10FC6ED4" w14:textId="77777777" w:rsidR="00AF5D03" w:rsidRPr="00923095" w:rsidRDefault="00AF5D03">
      <w:pPr>
        <w:spacing w:before="80"/>
        <w:jc w:val="both"/>
        <w:rPr>
          <w:rFonts w:ascii="Open Sans" w:eastAsia="Open Sans" w:hAnsi="Open Sans" w:cs="Open Sans"/>
          <w:sz w:val="20"/>
          <w:szCs w:val="20"/>
        </w:rPr>
      </w:pPr>
    </w:p>
    <w:p w14:paraId="3F346700" w14:textId="77777777" w:rsidR="00AF5D03" w:rsidRPr="00923095" w:rsidRDefault="00923095">
      <w:pPr>
        <w:spacing w:before="8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 xml:space="preserve">Afrique du Nord : </w:t>
      </w:r>
      <w:r w:rsidRPr="00923095">
        <w:rPr>
          <w:rFonts w:ascii="Open Sans" w:hAnsi="Open Sans"/>
          <w:sz w:val="20"/>
        </w:rPr>
        <w:t>Algérie, Égypte, Jamahiriya arabe libyenne, Maroc, Soudan, Tunisie</w:t>
      </w:r>
    </w:p>
    <w:p w14:paraId="58603660" w14:textId="77777777" w:rsidR="00AF5D03" w:rsidRPr="00923095" w:rsidRDefault="00AF5D03">
      <w:pPr>
        <w:spacing w:before="80"/>
        <w:jc w:val="both"/>
        <w:rPr>
          <w:rFonts w:ascii="Open Sans" w:eastAsia="Open Sans" w:hAnsi="Open Sans" w:cs="Open Sans"/>
          <w:sz w:val="20"/>
          <w:szCs w:val="20"/>
        </w:rPr>
      </w:pPr>
    </w:p>
    <w:p w14:paraId="7E12F6BC" w14:textId="77777777" w:rsidR="00AF5D03" w:rsidRPr="00923095" w:rsidRDefault="00923095">
      <w:pPr>
        <w:spacing w:before="80"/>
        <w:jc w:val="both"/>
        <w:rPr>
          <w:rFonts w:ascii="Open Sans" w:eastAsia="Open Sans" w:hAnsi="Open Sans" w:cs="Open Sans"/>
          <w:sz w:val="20"/>
          <w:szCs w:val="20"/>
        </w:rPr>
      </w:pPr>
      <w:r w:rsidRPr="00923095">
        <w:rPr>
          <w:rFonts w:ascii="Open Sans" w:hAnsi="Open Sans"/>
          <w:b/>
          <w:sz w:val="20"/>
        </w:rPr>
        <w:t>Afrique du S</w:t>
      </w:r>
      <w:r w:rsidRPr="00923095">
        <w:rPr>
          <w:rFonts w:ascii="Open Sans" w:hAnsi="Open Sans"/>
          <w:b/>
          <w:sz w:val="20"/>
        </w:rPr>
        <w:t xml:space="preserve">ud : </w:t>
      </w:r>
      <w:r w:rsidRPr="00923095">
        <w:rPr>
          <w:rFonts w:ascii="Open Sans" w:hAnsi="Open Sans"/>
          <w:sz w:val="20"/>
        </w:rPr>
        <w:t xml:space="preserve">Angola, Bénin, Botswana, Burkina Faso, Burundi, Cameroun (République), Cap-Vert, République centrafricaine, Tchad, Comores, Congo, Côte d'Ivoire, République démocratique du Congo (anciennement Zaïre), Djibouti, Érythrée, Guinée équatoriale, Éthiopie, </w:t>
      </w:r>
      <w:r w:rsidRPr="00923095">
        <w:rPr>
          <w:rFonts w:ascii="Open Sans" w:hAnsi="Open Sans"/>
          <w:sz w:val="20"/>
        </w:rPr>
        <w:t>Gabon, Gambie, Ghana, Guinée, Guinée-Bissau, Kenya, Lesotho, Liberia, Madagascar, Malawi, Mali, Mauritanie, Maurice, Mayotte, Mozambique, Namibie, Niger, Nigeria, Réunion, Rwanda, Saint- Hélène, Sao Tomé-et-Principe, Sénégal, Seychelles, Sierra Leone, Soma</w:t>
      </w:r>
      <w:r w:rsidRPr="00923095">
        <w:rPr>
          <w:rFonts w:ascii="Open Sans" w:hAnsi="Open Sans"/>
          <w:sz w:val="20"/>
        </w:rPr>
        <w:t>lie, Afrique du Sud, Swaziland, Tanzanie (République), Togo, Ouganda, Sahara occidental, Zambie, Zimbabwe.</w:t>
      </w:r>
    </w:p>
    <w:sectPr w:rsidR="00AF5D03" w:rsidRPr="00923095">
      <w:pgSz w:w="16838" w:h="11906" w:orient="landscape"/>
      <w:pgMar w:top="1195" w:right="1195" w:bottom="1080" w:left="1296" w:header="706" w:footer="4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03"/>
    <w:rsid w:val="00923095"/>
    <w:rsid w:val="00AF5D03"/>
    <w:rsid w:val="00BC2D12"/>
    <w:rsid w:val="00D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14AB"/>
  <w15:docId w15:val="{944E9A16-649E-4F2D-A641-E38445A9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9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Steps,abc,bullet,bullet 1,List Paragraph1,List Paragraph11,List Paragraph12,List Paragraph2,Thang2,VNA - List Paragraph,1.,Table Sequence,Colorful List - Accent 11,List Paragraph111,Dot 1,Norm,Bullet List,FooterText,numbered"/>
    <w:basedOn w:val="Normal"/>
    <w:link w:val="ListParagraphChar"/>
    <w:uiPriority w:val="34"/>
    <w:qFormat/>
    <w:rsid w:val="00FE299B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aliases w:val="Steps Char,abc Char,bullet Char,bullet 1 Char,List Paragraph1 Char,List Paragraph11 Char,List Paragraph12 Char,List Paragraph2 Char,Thang2 Char,VNA - List Paragraph Char,1. Char,Table Sequence Char,Colorful List - Accent 11 Char"/>
    <w:link w:val="ListParagraph"/>
    <w:uiPriority w:val="34"/>
    <w:qFormat/>
    <w:locked/>
    <w:rsid w:val="00FE299B"/>
    <w:rPr>
      <w:rFonts w:ascii="Times New Roman" w:eastAsia="Calibri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vietnamairlines.com/lotusmile/redeem-mile/with-skyteam/blackout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n3LI1aHOjFVe2J31ITVGIY6uA==">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Mg5oLmJuYjZsYWtwYWRtaDgAai4KFHN1Z2dlc3QuMWJibnRlMmoxcnNlEhZUaGkgTWluaCBQaHVvbmcgTmd1eWVuciExWEFHRWNXMy1UcHlIQ1dHcmVwQUZWSmJyQUVEZnd6W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Minh Phuong-LS</dc:creator>
  <cp:lastModifiedBy>Nguyễn Trần Phương Linh</cp:lastModifiedBy>
  <cp:revision>3</cp:revision>
  <dcterms:created xsi:type="dcterms:W3CDTF">2023-09-20T02:12:00Z</dcterms:created>
  <dcterms:modified xsi:type="dcterms:W3CDTF">2023-10-01T03:17:00Z</dcterms:modified>
</cp:coreProperties>
</file>